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614" w:rsidRPr="00987614" w:rsidRDefault="00987614" w:rsidP="00987614">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987614">
        <w:rPr>
          <w:rFonts w:ascii="Helvetica" w:eastAsia="宋体" w:hAnsi="Helvetica" w:cs="Helvetica"/>
          <w:color w:val="333333"/>
          <w:kern w:val="0"/>
          <w:sz w:val="48"/>
          <w:szCs w:val="48"/>
        </w:rPr>
        <w:t>国务院办公厅关于沿海省、自治区、直辖市审批项目用海有关问题的通知</w:t>
      </w:r>
    </w:p>
    <w:bookmarkEnd w:id="0"/>
    <w:p w:rsidR="00987614" w:rsidRPr="00987614" w:rsidRDefault="00987614" w:rsidP="00987614">
      <w:pPr>
        <w:widowControl/>
        <w:shd w:val="clear" w:color="auto" w:fill="FFFFFF"/>
        <w:spacing w:line="540" w:lineRule="atLeast"/>
        <w:jc w:val="right"/>
        <w:rPr>
          <w:rFonts w:ascii="Helvetica" w:eastAsia="宋体" w:hAnsi="Helvetica" w:cs="Helvetica"/>
          <w:color w:val="07438A"/>
          <w:kern w:val="0"/>
          <w:sz w:val="21"/>
          <w:szCs w:val="21"/>
        </w:rPr>
      </w:pPr>
      <w:r w:rsidRPr="00987614">
        <w:rPr>
          <w:rFonts w:ascii="Helvetica" w:eastAsia="宋体" w:hAnsi="Helvetica" w:cs="Helvetica"/>
          <w:color w:val="07438A"/>
          <w:kern w:val="0"/>
          <w:sz w:val="21"/>
          <w:szCs w:val="21"/>
        </w:rPr>
        <w:t>字号</w:t>
      </w:r>
      <w:r w:rsidRPr="00987614">
        <w:rPr>
          <w:rFonts w:ascii="Helvetica" w:eastAsia="宋体" w:hAnsi="Helvetica" w:cs="Helvetica"/>
          <w:color w:val="07438A"/>
          <w:kern w:val="0"/>
          <w:sz w:val="21"/>
          <w:szCs w:val="21"/>
        </w:rPr>
        <w:t>:</w:t>
      </w:r>
      <w:r w:rsidRPr="00987614">
        <w:rPr>
          <w:rFonts w:ascii="Helvetica" w:eastAsia="宋体" w:hAnsi="Helvetica" w:cs="Helvetica"/>
          <w:color w:val="07438A"/>
          <w:kern w:val="0"/>
          <w:sz w:val="21"/>
          <w:szCs w:val="21"/>
        </w:rPr>
        <w:t>小</w:t>
      </w:r>
      <w:r w:rsidRPr="00987614">
        <w:rPr>
          <w:rFonts w:ascii="Helvetica" w:eastAsia="宋体" w:hAnsi="Helvetica" w:cs="Helvetica"/>
          <w:color w:val="FF6600"/>
          <w:kern w:val="0"/>
          <w:sz w:val="21"/>
          <w:szCs w:val="21"/>
        </w:rPr>
        <w:t>中</w:t>
      </w:r>
      <w:r w:rsidRPr="00987614">
        <w:rPr>
          <w:rFonts w:ascii="Helvetica" w:eastAsia="宋体" w:hAnsi="Helvetica" w:cs="Helvetica"/>
          <w:color w:val="07438A"/>
          <w:kern w:val="0"/>
          <w:sz w:val="21"/>
          <w:szCs w:val="21"/>
        </w:rPr>
        <w:t>大</w:t>
      </w:r>
    </w:p>
    <w:p w:rsidR="00987614" w:rsidRPr="00987614" w:rsidRDefault="00987614" w:rsidP="00987614">
      <w:pPr>
        <w:widowControl/>
        <w:shd w:val="clear" w:color="auto" w:fill="FFFFFF"/>
        <w:spacing w:line="540" w:lineRule="atLeast"/>
        <w:jc w:val="left"/>
        <w:rPr>
          <w:rFonts w:ascii="Helvetica" w:eastAsia="宋体" w:hAnsi="Helvetica" w:cs="Helvetica"/>
          <w:color w:val="07438A"/>
          <w:kern w:val="0"/>
          <w:sz w:val="21"/>
          <w:szCs w:val="21"/>
        </w:rPr>
      </w:pPr>
      <w:r w:rsidRPr="00987614">
        <w:rPr>
          <w:rFonts w:ascii="Helvetica" w:eastAsia="宋体" w:hAnsi="Helvetica" w:cs="Helvetica"/>
          <w:color w:val="07438A"/>
          <w:kern w:val="0"/>
          <w:sz w:val="21"/>
          <w:szCs w:val="21"/>
        </w:rPr>
        <w:t>发布来源：发布时间：</w:t>
      </w:r>
      <w:r w:rsidRPr="00987614">
        <w:rPr>
          <w:rFonts w:ascii="Helvetica" w:eastAsia="宋体" w:hAnsi="Helvetica" w:cs="Helvetica"/>
          <w:color w:val="07438A"/>
          <w:kern w:val="0"/>
          <w:sz w:val="21"/>
          <w:szCs w:val="21"/>
        </w:rPr>
        <w:t>2017-06-11</w:t>
      </w:r>
    </w:p>
    <w:tbl>
      <w:tblPr>
        <w:tblW w:w="4750" w:type="pct"/>
        <w:jc w:val="center"/>
        <w:tblCellMar>
          <w:left w:w="0" w:type="dxa"/>
          <w:right w:w="0" w:type="dxa"/>
        </w:tblCellMar>
        <w:tblLook w:val="04A0" w:firstRow="1" w:lastRow="0" w:firstColumn="1" w:lastColumn="0" w:noHBand="0" w:noVBand="1"/>
      </w:tblPr>
      <w:tblGrid>
        <w:gridCol w:w="7891"/>
      </w:tblGrid>
      <w:tr w:rsidR="00987614" w:rsidRPr="00987614" w:rsidTr="00987614">
        <w:trPr>
          <w:jc w:val="center"/>
        </w:trPr>
        <w:tc>
          <w:tcPr>
            <w:tcW w:w="0" w:type="auto"/>
            <w:vAlign w:val="center"/>
            <w:hideMark/>
          </w:tcPr>
          <w:p w:rsidR="00987614" w:rsidRPr="00987614" w:rsidRDefault="00987614" w:rsidP="00987614">
            <w:pPr>
              <w:widowControl/>
              <w:spacing w:after="150" w:line="240" w:lineRule="auto"/>
              <w:jc w:val="left"/>
              <w:rPr>
                <w:rFonts w:ascii="宋体" w:eastAsia="宋体" w:hAnsi="宋体" w:cs="宋体"/>
                <w:kern w:val="0"/>
                <w:szCs w:val="24"/>
              </w:rPr>
            </w:pPr>
            <w:r w:rsidRPr="00987614">
              <w:rPr>
                <w:rFonts w:ascii="黑体" w:eastAsia="黑体" w:hAnsi="黑体" w:cs="宋体" w:hint="eastAsia"/>
                <w:kern w:val="0"/>
                <w:szCs w:val="24"/>
              </w:rPr>
              <w:t>各省、自治区、直辖市人民政府，国务院各部委、各直属机构：</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为了贯彻实施《中华人民共和国海域使用管理法》（以下简称《海域法》），加强海域使用管理，依照该法有关规定，明确沿海省、自治区、直辖市人民政府项目用海的审批权，经国务院同意，现就有关问题通知如下：</w:t>
            </w:r>
          </w:p>
          <w:p w:rsidR="00987614" w:rsidRPr="00987614" w:rsidRDefault="00987614" w:rsidP="00987614">
            <w:pPr>
              <w:widowControl/>
              <w:spacing w:after="150" w:line="240" w:lineRule="auto"/>
              <w:ind w:firstLine="482"/>
              <w:jc w:val="left"/>
              <w:rPr>
                <w:rFonts w:ascii="宋体" w:eastAsia="宋体" w:hAnsi="宋体" w:cs="宋体"/>
                <w:kern w:val="0"/>
                <w:szCs w:val="24"/>
              </w:rPr>
            </w:pPr>
            <w:r w:rsidRPr="00987614">
              <w:rPr>
                <w:rFonts w:ascii="宋体" w:eastAsia="宋体" w:hAnsi="宋体" w:cs="宋体" w:hint="eastAsia"/>
                <w:b/>
                <w:bCs/>
                <w:kern w:val="0"/>
                <w:szCs w:val="24"/>
              </w:rPr>
              <w:t>一、明确各级人民政府项目用海审批权限</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海域法》第十八条规定，下列项目用海由国务院审批：填海50公顷以上的项目用海；围海100公顷以上的项目用海；不改变海域自然属性的用海700公顷以上的项目用海；国家重大建设项目用海；国务院规定的其他项目用海。国务院审批以外的项目用海的审批权限，授权省、自治区、直辖市人民政府按照以下原则规定：</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（一）填海（围海造地）50公顷以下（不含本数）的项目用海，由省、自治区、直辖市人民政府审批，其审批权不得下放。</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（二）围海100公顷以下（不含本数）的项目用海，由省、自治区、直辖市、设区的市、县（市）人民政府分级审批，分级审批权限由省、自治区、直辖市人民政府按照项目种类、用海面积规定。</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（三）700公顷以下（不含本数）不改变海域自然属性的项目用海，主要由设区的市、县（市）人民政府审批。</w:t>
            </w:r>
          </w:p>
          <w:p w:rsidR="00987614" w:rsidRPr="00987614" w:rsidRDefault="00987614" w:rsidP="00987614">
            <w:pPr>
              <w:widowControl/>
              <w:spacing w:after="150" w:line="240" w:lineRule="auto"/>
              <w:ind w:firstLine="482"/>
              <w:jc w:val="left"/>
              <w:rPr>
                <w:rFonts w:ascii="宋体" w:eastAsia="宋体" w:hAnsi="宋体" w:cs="宋体"/>
                <w:kern w:val="0"/>
                <w:szCs w:val="24"/>
              </w:rPr>
            </w:pPr>
            <w:r w:rsidRPr="00987614">
              <w:rPr>
                <w:rFonts w:ascii="宋体" w:eastAsia="宋体" w:hAnsi="宋体" w:cs="宋体" w:hint="eastAsia"/>
                <w:b/>
                <w:bCs/>
                <w:kern w:val="0"/>
                <w:szCs w:val="24"/>
              </w:rPr>
              <w:t>二、严格项目用海的审批管理</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审批项目用海，必须以海洋功能区划为依据，以促进经济和社会协调发展、保护和改善生态环境、严格控制填海和围海项目、保障国防安全和海上交通安全为原则。沿海县级以上地方人民政府要依据《海域法》的有关规定，认真做好海洋功能区划的编制、修订和实施工作。海洋功能区划的编制和修订要经过科学论证，切实可行。经审批的海洋功能区划必须严格执行，修改已批准的海洋功能区划必须经过法定程序。凡不符合海洋功能区划的，不得批准项目用海。</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要严格按照规定和审批权限审批项目用海，不得越权审批或者化整为零、分散审批。要提高办事效率、完善用海审批手续，项目用海审批时间一般不超过60个工作日。</w:t>
            </w:r>
          </w:p>
          <w:p w:rsidR="00987614" w:rsidRPr="00987614" w:rsidRDefault="00987614" w:rsidP="00987614">
            <w:pPr>
              <w:widowControl/>
              <w:spacing w:after="150" w:line="240" w:lineRule="auto"/>
              <w:ind w:firstLine="482"/>
              <w:jc w:val="left"/>
              <w:rPr>
                <w:rFonts w:ascii="宋体" w:eastAsia="宋体" w:hAnsi="宋体" w:cs="宋体"/>
                <w:kern w:val="0"/>
                <w:szCs w:val="24"/>
              </w:rPr>
            </w:pPr>
            <w:r w:rsidRPr="00987614">
              <w:rPr>
                <w:rFonts w:ascii="宋体" w:eastAsia="宋体" w:hAnsi="宋体" w:cs="宋体" w:hint="eastAsia"/>
                <w:b/>
                <w:bCs/>
                <w:kern w:val="0"/>
                <w:szCs w:val="24"/>
              </w:rPr>
              <w:t>三、做好海域使用权登记与证书颁发工作</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lastRenderedPageBreak/>
              <w:t>《海域使用权证书》是海域使用权人享有特定海域使用权的法律凭证，由国家海洋局统一印制和编号。国务院审批的项目用海，由国家海洋局办理海域使用权登记，颁发《海域使用权证书》；地方人民政府审批的项目用海，由批准用海的人民政府办理海域使用权登记，颁发《海域使用权证书》。负责办理海域使用权登记的机关，要在海域使用权登记后1个月内以适当方式进行公告。颁发或换发《海域使用权证书》，除依法收取海域使用金外，不得收取其他费用。</w:t>
            </w:r>
          </w:p>
          <w:p w:rsidR="00987614" w:rsidRPr="00987614" w:rsidRDefault="00987614" w:rsidP="00987614">
            <w:pPr>
              <w:widowControl/>
              <w:spacing w:after="150" w:line="240" w:lineRule="auto"/>
              <w:ind w:firstLine="482"/>
              <w:jc w:val="left"/>
              <w:rPr>
                <w:rFonts w:ascii="宋体" w:eastAsia="宋体" w:hAnsi="宋体" w:cs="宋体"/>
                <w:kern w:val="0"/>
                <w:szCs w:val="24"/>
              </w:rPr>
            </w:pPr>
            <w:r w:rsidRPr="00987614">
              <w:rPr>
                <w:rFonts w:ascii="宋体" w:eastAsia="宋体" w:hAnsi="宋体" w:cs="宋体" w:hint="eastAsia"/>
                <w:b/>
                <w:bCs/>
                <w:kern w:val="0"/>
                <w:szCs w:val="24"/>
              </w:rPr>
              <w:t>四、加强海域使用管理的执法监督检查</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要逐步建立和完善海域使用执法监督检查制度，强化海域使用管理的执法监督工作。沿海县级以上地方人民政府海洋行政主管部门及其所属的中国海监机构要加大执法力度，整顿和规范海域使用管理秩序，对《海域法》实施后未经批准非法占有海域，无权批准、越权批准或者不按海洋功能区划批准使用海域，擅自改变海域用途等违法行为的，要严格按照《海域法》的有关规定，追究有关当事人的法律责任。</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hint="eastAsia"/>
                <w:kern w:val="0"/>
                <w:szCs w:val="24"/>
              </w:rPr>
              <w:t>沿海省、自治区、直辖市人民政府要根据本通知精神，结合本地区的实际情况，研究贯彻落实的具体措施。要依照《海域法》和本通知规定的权限和程序制（修）订有关海域使用管理的地方性法规、地方政府规章，确保项目用海审批权得到合法、有效地行使，切实维护国家海域所有权和海域使用权人的合法权益，保障海洋资源的可持续利用，促进海洋经济的有序、协调发展。</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kern w:val="0"/>
                <w:szCs w:val="24"/>
              </w:rPr>
              <w:t> </w:t>
            </w:r>
          </w:p>
          <w:p w:rsidR="00987614" w:rsidRPr="00987614" w:rsidRDefault="00987614" w:rsidP="00987614">
            <w:pPr>
              <w:widowControl/>
              <w:spacing w:after="150" w:line="240" w:lineRule="auto"/>
              <w:ind w:firstLine="480"/>
              <w:jc w:val="left"/>
              <w:rPr>
                <w:rFonts w:ascii="宋体" w:eastAsia="宋体" w:hAnsi="宋体" w:cs="宋体"/>
                <w:kern w:val="0"/>
                <w:szCs w:val="24"/>
              </w:rPr>
            </w:pPr>
            <w:r w:rsidRPr="00987614">
              <w:rPr>
                <w:rFonts w:ascii="宋体" w:eastAsia="宋体" w:hAnsi="宋体" w:cs="宋体"/>
                <w:kern w:val="0"/>
                <w:szCs w:val="24"/>
              </w:rPr>
              <w:t> </w:t>
            </w:r>
          </w:p>
          <w:p w:rsidR="00987614" w:rsidRPr="00987614" w:rsidRDefault="00987614" w:rsidP="00987614">
            <w:pPr>
              <w:widowControl/>
              <w:spacing w:after="150" w:line="240" w:lineRule="auto"/>
              <w:ind w:firstLine="3840"/>
              <w:jc w:val="right"/>
              <w:rPr>
                <w:rFonts w:ascii="宋体" w:eastAsia="宋体" w:hAnsi="宋体" w:cs="宋体"/>
                <w:kern w:val="0"/>
                <w:szCs w:val="24"/>
              </w:rPr>
            </w:pPr>
            <w:r w:rsidRPr="00987614">
              <w:rPr>
                <w:rFonts w:ascii="黑体" w:eastAsia="黑体" w:hAnsi="黑体" w:cs="宋体" w:hint="eastAsia"/>
                <w:kern w:val="0"/>
                <w:szCs w:val="24"/>
              </w:rPr>
              <w:t>中华人民共和国国务院办公厅</w:t>
            </w:r>
            <w:r w:rsidRPr="00987614">
              <w:rPr>
                <w:rFonts w:ascii="Calibri" w:eastAsia="黑体" w:hAnsi="Calibri" w:cs="Calibri"/>
                <w:kern w:val="0"/>
                <w:szCs w:val="24"/>
              </w:rPr>
              <w:t>    </w:t>
            </w:r>
          </w:p>
          <w:p w:rsidR="00987614" w:rsidRPr="00987614" w:rsidRDefault="00987614" w:rsidP="00987614">
            <w:pPr>
              <w:widowControl/>
              <w:spacing w:after="150" w:line="240" w:lineRule="auto"/>
              <w:ind w:firstLine="4320"/>
              <w:jc w:val="right"/>
              <w:rPr>
                <w:rFonts w:ascii="宋体" w:eastAsia="宋体" w:hAnsi="宋体" w:cs="宋体"/>
                <w:kern w:val="0"/>
                <w:szCs w:val="24"/>
              </w:rPr>
            </w:pPr>
            <w:r w:rsidRPr="00987614">
              <w:rPr>
                <w:rFonts w:ascii="黑体" w:eastAsia="黑体" w:hAnsi="黑体" w:cs="宋体" w:hint="eastAsia"/>
                <w:kern w:val="0"/>
                <w:szCs w:val="24"/>
              </w:rPr>
              <w:t>二○○二年七月六日</w:t>
            </w:r>
            <w:r w:rsidRPr="00987614">
              <w:rPr>
                <w:rFonts w:ascii="Calibri" w:eastAsia="黑体" w:hAnsi="Calibri" w:cs="Calibri"/>
                <w:kern w:val="0"/>
                <w:szCs w:val="24"/>
              </w:rPr>
              <w:t>       </w:t>
            </w:r>
          </w:p>
        </w:tc>
      </w:tr>
    </w:tbl>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A14"/>
    <w:rsid w:val="00027A14"/>
    <w:rsid w:val="00112AC5"/>
    <w:rsid w:val="00682DCF"/>
    <w:rsid w:val="00783F64"/>
    <w:rsid w:val="00987614"/>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4DFC7A-B35F-44C3-A415-CF7B0D4D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901720">
      <w:bodyDiv w:val="1"/>
      <w:marLeft w:val="0"/>
      <w:marRight w:val="0"/>
      <w:marTop w:val="0"/>
      <w:marBottom w:val="0"/>
      <w:divBdr>
        <w:top w:val="none" w:sz="0" w:space="0" w:color="auto"/>
        <w:left w:val="none" w:sz="0" w:space="0" w:color="auto"/>
        <w:bottom w:val="none" w:sz="0" w:space="0" w:color="auto"/>
        <w:right w:val="none" w:sz="0" w:space="0" w:color="auto"/>
      </w:divBdr>
      <w:divsChild>
        <w:div w:id="1450003917">
          <w:marLeft w:val="0"/>
          <w:marRight w:val="0"/>
          <w:marTop w:val="0"/>
          <w:marBottom w:val="0"/>
          <w:divBdr>
            <w:top w:val="none" w:sz="0" w:space="0" w:color="auto"/>
            <w:left w:val="none" w:sz="0" w:space="0" w:color="auto"/>
            <w:bottom w:val="dotted" w:sz="6" w:space="15" w:color="333333"/>
            <w:right w:val="none" w:sz="0" w:space="0" w:color="auto"/>
          </w:divBdr>
        </w:div>
        <w:div w:id="1411852880">
          <w:marLeft w:val="0"/>
          <w:marRight w:val="0"/>
          <w:marTop w:val="0"/>
          <w:marBottom w:val="0"/>
          <w:divBdr>
            <w:top w:val="none" w:sz="0" w:space="0" w:color="auto"/>
            <w:left w:val="none" w:sz="0" w:space="0" w:color="auto"/>
            <w:bottom w:val="none" w:sz="0" w:space="0" w:color="auto"/>
            <w:right w:val="none" w:sz="0" w:space="0" w:color="auto"/>
          </w:divBdr>
        </w:div>
        <w:div w:id="1737361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2020-04-15T01:35:00Z</dcterms:created>
  <dcterms:modified xsi:type="dcterms:W3CDTF">2020-04-15T01:35:00Z</dcterms:modified>
</cp:coreProperties>
</file>